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A2" w:rsidRDefault="003E70A2" w:rsidP="003E70A2">
      <w:pPr>
        <w:spacing w:after="0" w:line="256" w:lineRule="auto"/>
        <w:ind w:left="0" w:firstLine="0"/>
        <w:jc w:val="right"/>
        <w:rPr>
          <w:lang w:val="en-AU"/>
        </w:rPr>
      </w:pPr>
      <w:bookmarkStart w:id="0" w:name="_GoBack"/>
      <w:bookmarkEnd w:id="0"/>
    </w:p>
    <w:p w:rsidR="003E70A2" w:rsidRDefault="003E70A2" w:rsidP="003E70A2">
      <w:pPr>
        <w:spacing w:after="0" w:line="256" w:lineRule="auto"/>
        <w:ind w:left="0" w:firstLine="0"/>
        <w:jc w:val="right"/>
      </w:pPr>
    </w:p>
    <w:p w:rsidR="003E70A2" w:rsidRDefault="003E70A2" w:rsidP="003E70A2">
      <w:pPr>
        <w:spacing w:after="0" w:line="256" w:lineRule="auto"/>
        <w:ind w:left="0" w:firstLine="0"/>
        <w:jc w:val="right"/>
      </w:pPr>
      <w:r>
        <w:t xml:space="preserve"> </w:t>
      </w:r>
    </w:p>
    <w:p w:rsidR="003E70A2" w:rsidRDefault="003E70A2" w:rsidP="003E70A2">
      <w:pPr>
        <w:spacing w:after="482" w:line="256" w:lineRule="auto"/>
        <w:jc w:val="center"/>
      </w:pPr>
      <w:r>
        <w:rPr>
          <w:b/>
          <w:sz w:val="36"/>
        </w:rPr>
        <w:t xml:space="preserve">Н А Р Е Д Б А </w:t>
      </w:r>
    </w:p>
    <w:p w:rsidR="003E70A2" w:rsidRDefault="003E70A2" w:rsidP="003E70A2">
      <w:pPr>
        <w:spacing w:after="482" w:line="256" w:lineRule="auto"/>
        <w:jc w:val="center"/>
      </w:pPr>
      <w:r>
        <w:rPr>
          <w:b/>
          <w:sz w:val="36"/>
        </w:rPr>
        <w:t xml:space="preserve">ЗА  </w:t>
      </w:r>
    </w:p>
    <w:p w:rsidR="003E70A2" w:rsidRDefault="003E70A2" w:rsidP="003E70A2">
      <w:pPr>
        <w:spacing w:after="482" w:line="256" w:lineRule="auto"/>
        <w:ind w:right="3"/>
        <w:jc w:val="center"/>
      </w:pPr>
      <w:r>
        <w:rPr>
          <w:b/>
          <w:sz w:val="36"/>
        </w:rPr>
        <w:t xml:space="preserve">ИЗДАВАНЕ НА КАРТИ  </w:t>
      </w:r>
    </w:p>
    <w:p w:rsidR="003E70A2" w:rsidRDefault="003E70A2" w:rsidP="003E70A2">
      <w:pPr>
        <w:spacing w:after="482" w:line="256" w:lineRule="auto"/>
        <w:ind w:right="8"/>
        <w:jc w:val="center"/>
      </w:pPr>
      <w:r>
        <w:rPr>
          <w:b/>
          <w:sz w:val="36"/>
        </w:rPr>
        <w:t xml:space="preserve">ЗА ПАРКИРАНЕ НА ПРЕВОЗНИ СРЕДСТВА,  </w:t>
      </w:r>
    </w:p>
    <w:p w:rsidR="003E70A2" w:rsidRDefault="003E70A2" w:rsidP="003E70A2">
      <w:pPr>
        <w:spacing w:after="482" w:line="256" w:lineRule="auto"/>
        <w:ind w:right="7"/>
        <w:jc w:val="center"/>
      </w:pPr>
      <w:r>
        <w:rPr>
          <w:b/>
          <w:sz w:val="36"/>
        </w:rPr>
        <w:t xml:space="preserve">УПРАВЛЯВАНИ ОТ ИЛИ ПРЕВОЗВАЩИ ЛИЦА С  </w:t>
      </w:r>
    </w:p>
    <w:p w:rsidR="003E70A2" w:rsidRDefault="003E70A2" w:rsidP="003E70A2">
      <w:pPr>
        <w:spacing w:after="482" w:line="256" w:lineRule="auto"/>
        <w:ind w:right="2"/>
        <w:jc w:val="center"/>
      </w:pPr>
      <w:r>
        <w:rPr>
          <w:b/>
          <w:sz w:val="36"/>
        </w:rPr>
        <w:t xml:space="preserve">ТРАЙНИ УВРЕЖДАНИЯ НА ТЕРИТОРИЯТА  </w:t>
      </w:r>
    </w:p>
    <w:p w:rsidR="003E70A2" w:rsidRDefault="003E70A2" w:rsidP="003E70A2">
      <w:pPr>
        <w:spacing w:after="482" w:line="256" w:lineRule="auto"/>
        <w:ind w:right="1"/>
        <w:jc w:val="center"/>
      </w:pPr>
      <w:r>
        <w:rPr>
          <w:b/>
          <w:sz w:val="36"/>
        </w:rPr>
        <w:t xml:space="preserve">НА  </w:t>
      </w:r>
    </w:p>
    <w:p w:rsidR="003E70A2" w:rsidRDefault="003E70A2" w:rsidP="003E70A2">
      <w:pPr>
        <w:spacing w:after="291" w:line="256" w:lineRule="auto"/>
        <w:ind w:right="3"/>
        <w:jc w:val="center"/>
      </w:pPr>
      <w:r>
        <w:rPr>
          <w:b/>
          <w:sz w:val="36"/>
        </w:rPr>
        <w:t>ОБЩИНА КАЙНАРДЖА</w:t>
      </w:r>
    </w:p>
    <w:p w:rsidR="003E70A2" w:rsidRDefault="003E70A2" w:rsidP="003E70A2">
      <w:pPr>
        <w:spacing w:after="0" w:line="256" w:lineRule="auto"/>
        <w:ind w:left="58" w:firstLine="0"/>
        <w:jc w:val="center"/>
      </w:pPr>
      <w:r>
        <w:t xml:space="preserve"> </w:t>
      </w:r>
    </w:p>
    <w:p w:rsidR="003E70A2" w:rsidRDefault="003E70A2" w:rsidP="003E70A2">
      <w:pPr>
        <w:spacing w:after="0" w:line="256" w:lineRule="auto"/>
        <w:ind w:left="58" w:firstLine="0"/>
        <w:jc w:val="center"/>
      </w:pPr>
      <w:r>
        <w:t xml:space="preserve"> </w:t>
      </w:r>
    </w:p>
    <w:p w:rsidR="003E70A2" w:rsidRDefault="003E70A2" w:rsidP="003E70A2">
      <w:pPr>
        <w:spacing w:after="0" w:line="256" w:lineRule="auto"/>
        <w:ind w:left="58" w:firstLine="0"/>
        <w:jc w:val="center"/>
      </w:pPr>
      <w:r>
        <w:t xml:space="preserve"> </w:t>
      </w:r>
    </w:p>
    <w:p w:rsidR="003E70A2" w:rsidRDefault="003E70A2" w:rsidP="003E70A2">
      <w:pPr>
        <w:spacing w:after="0" w:line="256" w:lineRule="auto"/>
        <w:ind w:left="58" w:firstLine="0"/>
        <w:jc w:val="center"/>
      </w:pPr>
      <w:r>
        <w:t xml:space="preserve"> </w:t>
      </w:r>
    </w:p>
    <w:p w:rsidR="003E70A2" w:rsidRDefault="003E70A2" w:rsidP="003E70A2">
      <w:pPr>
        <w:spacing w:after="0" w:line="256" w:lineRule="auto"/>
        <w:ind w:left="58" w:firstLine="0"/>
        <w:jc w:val="center"/>
      </w:pPr>
      <w:r>
        <w:t xml:space="preserve"> </w:t>
      </w:r>
    </w:p>
    <w:p w:rsidR="003E70A2" w:rsidRDefault="003E70A2" w:rsidP="003E70A2">
      <w:pPr>
        <w:spacing w:after="0" w:line="256" w:lineRule="auto"/>
        <w:ind w:left="58" w:firstLine="0"/>
        <w:jc w:val="center"/>
      </w:pPr>
      <w:r>
        <w:t xml:space="preserve"> </w:t>
      </w:r>
    </w:p>
    <w:p w:rsidR="003E70A2" w:rsidRDefault="003E70A2" w:rsidP="003E70A2">
      <w:pPr>
        <w:spacing w:after="0" w:line="256" w:lineRule="auto"/>
        <w:ind w:left="58" w:firstLine="0"/>
        <w:jc w:val="center"/>
      </w:pPr>
      <w:r>
        <w:t xml:space="preserve"> </w:t>
      </w:r>
    </w:p>
    <w:p w:rsidR="003E70A2" w:rsidRDefault="003E70A2" w:rsidP="003E70A2">
      <w:pPr>
        <w:spacing w:after="0" w:line="256" w:lineRule="auto"/>
        <w:ind w:left="58" w:firstLine="0"/>
        <w:jc w:val="center"/>
      </w:pPr>
      <w:r>
        <w:t xml:space="preserve"> </w:t>
      </w:r>
    </w:p>
    <w:p w:rsidR="003E70A2" w:rsidRDefault="003E70A2" w:rsidP="003E70A2">
      <w:pPr>
        <w:spacing w:after="0" w:line="256" w:lineRule="auto"/>
        <w:ind w:left="58" w:firstLine="0"/>
        <w:jc w:val="center"/>
      </w:pPr>
      <w:r>
        <w:t xml:space="preserve"> </w:t>
      </w:r>
    </w:p>
    <w:p w:rsidR="003E70A2" w:rsidRDefault="003E70A2" w:rsidP="003E70A2">
      <w:pPr>
        <w:spacing w:after="0" w:line="256" w:lineRule="auto"/>
        <w:ind w:left="58" w:firstLine="0"/>
        <w:jc w:val="center"/>
      </w:pPr>
      <w:r>
        <w:t xml:space="preserve"> </w:t>
      </w:r>
    </w:p>
    <w:p w:rsidR="003E70A2" w:rsidRDefault="003E70A2" w:rsidP="003E70A2">
      <w:pPr>
        <w:spacing w:after="0" w:line="256" w:lineRule="auto"/>
        <w:ind w:left="58" w:firstLine="0"/>
        <w:jc w:val="center"/>
      </w:pPr>
      <w:r>
        <w:t xml:space="preserve"> </w:t>
      </w:r>
    </w:p>
    <w:p w:rsidR="003E70A2" w:rsidRDefault="003E70A2" w:rsidP="003E70A2">
      <w:pPr>
        <w:spacing w:after="0" w:line="256" w:lineRule="auto"/>
        <w:ind w:left="58" w:firstLine="0"/>
        <w:jc w:val="center"/>
      </w:pPr>
      <w:r>
        <w:t xml:space="preserve"> </w:t>
      </w:r>
    </w:p>
    <w:p w:rsidR="003E70A2" w:rsidRDefault="003E70A2" w:rsidP="003E70A2">
      <w:pPr>
        <w:spacing w:after="0" w:line="256" w:lineRule="auto"/>
        <w:ind w:left="58" w:firstLine="0"/>
        <w:jc w:val="center"/>
      </w:pPr>
      <w:r>
        <w:t xml:space="preserve"> </w:t>
      </w:r>
    </w:p>
    <w:p w:rsidR="003E70A2" w:rsidRDefault="003E70A2" w:rsidP="003E70A2">
      <w:pPr>
        <w:spacing w:after="31" w:line="256" w:lineRule="auto"/>
        <w:ind w:left="58" w:firstLine="0"/>
        <w:jc w:val="center"/>
      </w:pPr>
      <w:r>
        <w:t xml:space="preserve"> </w:t>
      </w:r>
    </w:p>
    <w:p w:rsidR="003E70A2" w:rsidRDefault="003E70A2" w:rsidP="003E70A2">
      <w:pPr>
        <w:spacing w:after="0" w:line="256" w:lineRule="auto"/>
        <w:ind w:left="58" w:firstLine="0"/>
        <w:jc w:val="center"/>
      </w:pPr>
    </w:p>
    <w:p w:rsidR="003E70A2" w:rsidRDefault="003E70A2" w:rsidP="003E70A2">
      <w:pPr>
        <w:spacing w:after="0" w:line="256" w:lineRule="auto"/>
        <w:ind w:left="58" w:firstLine="0"/>
        <w:jc w:val="center"/>
      </w:pPr>
    </w:p>
    <w:p w:rsidR="003E70A2" w:rsidRDefault="003E70A2" w:rsidP="003E70A2">
      <w:pPr>
        <w:spacing w:after="0" w:line="256" w:lineRule="auto"/>
        <w:ind w:left="58" w:firstLine="0"/>
        <w:jc w:val="center"/>
      </w:pPr>
    </w:p>
    <w:p w:rsidR="003E70A2" w:rsidRDefault="003E70A2" w:rsidP="003E70A2">
      <w:pPr>
        <w:spacing w:after="0" w:line="256" w:lineRule="auto"/>
        <w:ind w:left="58" w:firstLine="0"/>
        <w:jc w:val="center"/>
      </w:pPr>
    </w:p>
    <w:p w:rsidR="003E70A2" w:rsidRDefault="003E70A2" w:rsidP="003E70A2">
      <w:pPr>
        <w:spacing w:after="0" w:line="256" w:lineRule="auto"/>
        <w:ind w:left="58" w:firstLine="0"/>
        <w:jc w:val="center"/>
      </w:pPr>
    </w:p>
    <w:p w:rsidR="003E70A2" w:rsidRDefault="003E70A2" w:rsidP="00E17219">
      <w:pPr>
        <w:spacing w:after="0" w:line="256" w:lineRule="auto"/>
        <w:ind w:left="0" w:firstLine="0"/>
      </w:pPr>
    </w:p>
    <w:p w:rsidR="003E70A2" w:rsidRDefault="003E70A2" w:rsidP="003E70A2">
      <w:pPr>
        <w:spacing w:after="0" w:line="256" w:lineRule="auto"/>
        <w:ind w:left="58" w:firstLine="0"/>
        <w:jc w:val="center"/>
      </w:pPr>
      <w:r>
        <w:lastRenderedPageBreak/>
        <w:t xml:space="preserve"> </w:t>
      </w:r>
    </w:p>
    <w:p w:rsidR="003E70A2" w:rsidRDefault="003E70A2" w:rsidP="003E70A2">
      <w:pPr>
        <w:keepNext/>
        <w:keepLines/>
        <w:spacing w:after="25" w:line="256" w:lineRule="auto"/>
        <w:ind w:right="1"/>
        <w:jc w:val="center"/>
        <w:outlineLvl w:val="1"/>
        <w:rPr>
          <w:b/>
          <w:u w:val="single" w:color="000000"/>
        </w:rPr>
      </w:pPr>
      <w:r>
        <w:rPr>
          <w:b/>
          <w:u w:val="single" w:color="000000"/>
        </w:rPr>
        <w:t>ГЛАВА ПЪРВА</w:t>
      </w:r>
      <w:r>
        <w:rPr>
          <w:b/>
        </w:rPr>
        <w:t xml:space="preserve"> </w:t>
      </w:r>
    </w:p>
    <w:p w:rsidR="003E70A2" w:rsidRDefault="003E70A2" w:rsidP="003E70A2">
      <w:pPr>
        <w:spacing w:after="0" w:line="256" w:lineRule="auto"/>
        <w:ind w:right="2"/>
        <w:jc w:val="center"/>
      </w:pPr>
      <w:r>
        <w:rPr>
          <w:b/>
        </w:rPr>
        <w:t xml:space="preserve">ОБЩИ РАЗПОРЕДБИ: </w:t>
      </w:r>
    </w:p>
    <w:p w:rsidR="003E70A2" w:rsidRDefault="003E70A2" w:rsidP="003E70A2">
      <w:pPr>
        <w:spacing w:after="18" w:line="256" w:lineRule="auto"/>
        <w:ind w:left="58" w:firstLine="0"/>
        <w:jc w:val="center"/>
      </w:pPr>
      <w:r>
        <w:rPr>
          <w:b/>
        </w:rPr>
        <w:t xml:space="preserve"> </w:t>
      </w:r>
    </w:p>
    <w:p w:rsidR="003E70A2" w:rsidRDefault="003E70A2" w:rsidP="003E70A2">
      <w:pPr>
        <w:spacing w:after="11"/>
        <w:ind w:left="-5"/>
      </w:pPr>
      <w:r>
        <w:rPr>
          <w:b/>
        </w:rPr>
        <w:t>Чл.1.</w:t>
      </w:r>
      <w:r>
        <w:t xml:space="preserve"> (1) С наредбата се уреждат условията и редът за издаване на Карта за паркиране на превозните средства, обслужващи хора с трайни увреждания.  </w:t>
      </w:r>
    </w:p>
    <w:p w:rsidR="003E70A2" w:rsidRDefault="003E70A2" w:rsidP="003E70A2">
      <w:pPr>
        <w:spacing w:after="11"/>
        <w:ind w:left="-5"/>
      </w:pPr>
      <w:r>
        <w:t xml:space="preserve">(2) Картата за паркиране на превозните средства, обслужващи хора с трайни увреждания издадена по реда на настоящата Наредба е валидна на територията на цялата страна.  </w:t>
      </w:r>
    </w:p>
    <w:p w:rsidR="003E70A2" w:rsidRDefault="003E70A2" w:rsidP="003E70A2">
      <w:pPr>
        <w:spacing w:after="11"/>
        <w:ind w:left="-5"/>
      </w:pPr>
      <w:r>
        <w:rPr>
          <w:b/>
        </w:rPr>
        <w:t>Чл.2.</w:t>
      </w:r>
      <w:r>
        <w:t xml:space="preserve"> Местата за престой и паркиране на превозни средства обслужващи хора с трайни увреждания се обозначават с пътен знак Д21 „Инвалид” в съответствие с Наредба № 18 от 2001 г. за сигнализация на пътищата с пътни знаци и с плътна пътна маркировка с международния символ за достъпност.  </w:t>
      </w:r>
    </w:p>
    <w:p w:rsidR="003E70A2" w:rsidRDefault="003E70A2" w:rsidP="003E70A2">
      <w:pPr>
        <w:spacing w:after="30" w:line="256" w:lineRule="auto"/>
        <w:ind w:left="0" w:firstLine="0"/>
        <w:jc w:val="left"/>
      </w:pPr>
      <w:r>
        <w:t xml:space="preserve"> </w:t>
      </w:r>
    </w:p>
    <w:p w:rsidR="003E70A2" w:rsidRDefault="003E70A2" w:rsidP="003E70A2">
      <w:pPr>
        <w:spacing w:after="25" w:line="256" w:lineRule="auto"/>
        <w:ind w:right="3"/>
        <w:jc w:val="center"/>
      </w:pPr>
      <w:r>
        <w:rPr>
          <w:b/>
          <w:u w:val="single" w:color="000000"/>
        </w:rPr>
        <w:t>ГЛАВА ВТОРА</w:t>
      </w:r>
      <w:r>
        <w:rPr>
          <w:b/>
        </w:rPr>
        <w:t xml:space="preserve"> </w:t>
      </w:r>
    </w:p>
    <w:p w:rsidR="003E70A2" w:rsidRDefault="003E70A2" w:rsidP="003E70A2">
      <w:pPr>
        <w:keepNext/>
        <w:keepLines/>
        <w:spacing w:after="27" w:line="256" w:lineRule="auto"/>
        <w:ind w:right="2"/>
        <w:jc w:val="center"/>
        <w:outlineLvl w:val="0"/>
        <w:rPr>
          <w:b/>
        </w:rPr>
      </w:pPr>
      <w:r>
        <w:rPr>
          <w:b/>
        </w:rPr>
        <w:t xml:space="preserve">УСЛОВИЯ И РЕД ЗА ИЗДАВАНЕ НА КАРТА ЗА ПАРКИРАНЕ НА ПРЕВОЗНИ </w:t>
      </w:r>
    </w:p>
    <w:p w:rsidR="003E70A2" w:rsidRDefault="003E70A2" w:rsidP="003E70A2">
      <w:pPr>
        <w:spacing w:after="13"/>
        <w:ind w:left="-5"/>
        <w:jc w:val="left"/>
      </w:pPr>
      <w:r>
        <w:rPr>
          <w:b/>
        </w:rPr>
        <w:t xml:space="preserve">СРЕДСТВА, УПРАВЛЯВАНИ ОТ ИЛИ ПРЕВОЗВАЩИ ЛИЦА С ТРАЙНИ УВРЕЖДАНИЯ </w:t>
      </w:r>
    </w:p>
    <w:p w:rsidR="003E70A2" w:rsidRDefault="003E70A2" w:rsidP="003E70A2">
      <w:pPr>
        <w:spacing w:after="18" w:line="256" w:lineRule="auto"/>
        <w:ind w:left="58" w:firstLine="0"/>
        <w:jc w:val="center"/>
      </w:pPr>
      <w:r>
        <w:rPr>
          <w:b/>
        </w:rPr>
        <w:t xml:space="preserve"> </w:t>
      </w:r>
    </w:p>
    <w:p w:rsidR="003E70A2" w:rsidRDefault="003E70A2" w:rsidP="003E70A2">
      <w:pPr>
        <w:spacing w:after="11"/>
        <w:ind w:left="-5"/>
      </w:pPr>
      <w:r>
        <w:rPr>
          <w:b/>
        </w:rPr>
        <w:t>Чл.3.</w:t>
      </w:r>
      <w:r>
        <w:t xml:space="preserve"> (1) Картата за паркиране на</w:t>
      </w:r>
      <w:r>
        <w:rPr>
          <w:b/>
        </w:rPr>
        <w:t xml:space="preserve"> </w:t>
      </w:r>
      <w:r>
        <w:t xml:space="preserve">превозни средства, управлявани от или превозващи лица с трайни увреждания се издава от Кмета на община Кайнарджа по образец (Приложение № 1), съобразен с изискванията на стандартизирания модел на Общността от Приложението към Препоръка 98/376/ ЕО на Съвета от 4 юни 1998 г., относно картата за паркиране на хора с увреждания и съдържа следната задължителна информация:  </w:t>
      </w:r>
    </w:p>
    <w:p w:rsidR="003E70A2" w:rsidRDefault="003E70A2" w:rsidP="003E70A2">
      <w:pPr>
        <w:numPr>
          <w:ilvl w:val="0"/>
          <w:numId w:val="1"/>
        </w:numPr>
        <w:spacing w:after="11"/>
        <w:ind w:hanging="10"/>
      </w:pPr>
      <w:r>
        <w:t xml:space="preserve">Трите имена и актуална снимка на право имащото лице, притежател на картата;  </w:t>
      </w:r>
    </w:p>
    <w:p w:rsidR="003E70A2" w:rsidRDefault="003E70A2" w:rsidP="003E70A2">
      <w:pPr>
        <w:numPr>
          <w:ilvl w:val="0"/>
          <w:numId w:val="1"/>
        </w:numPr>
        <w:spacing w:after="11"/>
        <w:ind w:hanging="10"/>
      </w:pPr>
      <w:r>
        <w:t xml:space="preserve">Дата на издаване на картата;  </w:t>
      </w:r>
    </w:p>
    <w:p w:rsidR="003E70A2" w:rsidRDefault="003E70A2" w:rsidP="003E70A2">
      <w:pPr>
        <w:numPr>
          <w:ilvl w:val="0"/>
          <w:numId w:val="1"/>
        </w:numPr>
        <w:spacing w:after="11"/>
        <w:ind w:hanging="10"/>
      </w:pPr>
      <w:r>
        <w:t xml:space="preserve">Срок на валидност на картата;  </w:t>
      </w:r>
    </w:p>
    <w:p w:rsidR="003E70A2" w:rsidRDefault="003E70A2" w:rsidP="003E70A2">
      <w:pPr>
        <w:numPr>
          <w:ilvl w:val="0"/>
          <w:numId w:val="1"/>
        </w:numPr>
        <w:spacing w:after="11"/>
        <w:ind w:hanging="10"/>
      </w:pPr>
      <w:r>
        <w:t xml:space="preserve">Номер на картата в регистъра на редовно издадените карти;  </w:t>
      </w:r>
    </w:p>
    <w:p w:rsidR="003E70A2" w:rsidRDefault="003E70A2" w:rsidP="003E70A2">
      <w:pPr>
        <w:numPr>
          <w:ilvl w:val="0"/>
          <w:numId w:val="1"/>
        </w:numPr>
        <w:spacing w:after="11"/>
        <w:ind w:hanging="10"/>
      </w:pPr>
      <w:r>
        <w:t xml:space="preserve">Подпис на лицето с увреждания или на законният му представител;  </w:t>
      </w:r>
    </w:p>
    <w:p w:rsidR="003E70A2" w:rsidRDefault="003E70A2" w:rsidP="003E70A2">
      <w:pPr>
        <w:spacing w:after="11"/>
        <w:ind w:left="-5"/>
      </w:pPr>
      <w:r>
        <w:t xml:space="preserve">(2) Кметът на община Кайнарджа създава и поддържа Регистър, който съдържа:  </w:t>
      </w:r>
    </w:p>
    <w:p w:rsidR="003E70A2" w:rsidRDefault="003E70A2" w:rsidP="003E70A2">
      <w:pPr>
        <w:numPr>
          <w:ilvl w:val="0"/>
          <w:numId w:val="2"/>
        </w:numPr>
        <w:spacing w:after="11"/>
        <w:ind w:hanging="10"/>
      </w:pPr>
      <w:r>
        <w:t xml:space="preserve">Пореден номер и дата на издадена карта за паркиране на хора с увреждания;  </w:t>
      </w:r>
    </w:p>
    <w:p w:rsidR="003E70A2" w:rsidRDefault="003E70A2" w:rsidP="003E70A2">
      <w:pPr>
        <w:numPr>
          <w:ilvl w:val="0"/>
          <w:numId w:val="2"/>
        </w:numPr>
        <w:spacing w:after="11"/>
        <w:ind w:hanging="10"/>
      </w:pPr>
      <w:r>
        <w:t xml:space="preserve">Име, презиме и фамилия на лицето с увреждане;  </w:t>
      </w:r>
    </w:p>
    <w:p w:rsidR="003E70A2" w:rsidRDefault="003E70A2" w:rsidP="003E70A2">
      <w:pPr>
        <w:numPr>
          <w:ilvl w:val="0"/>
          <w:numId w:val="2"/>
        </w:numPr>
        <w:spacing w:after="11"/>
        <w:ind w:hanging="10"/>
      </w:pPr>
      <w:r>
        <w:t xml:space="preserve">Единен граждански номер;  </w:t>
      </w:r>
    </w:p>
    <w:p w:rsidR="003E70A2" w:rsidRDefault="003E70A2" w:rsidP="003E70A2">
      <w:pPr>
        <w:numPr>
          <w:ilvl w:val="0"/>
          <w:numId w:val="2"/>
        </w:numPr>
        <w:spacing w:after="11"/>
        <w:ind w:hanging="10"/>
      </w:pPr>
      <w:r>
        <w:t xml:space="preserve">Номер и дата на издаване на експертно решение на ТЕЛК, НЕЛК или ДЕЛК;  </w:t>
      </w:r>
    </w:p>
    <w:p w:rsidR="003E70A2" w:rsidRDefault="003E70A2" w:rsidP="003E70A2">
      <w:pPr>
        <w:numPr>
          <w:ilvl w:val="0"/>
          <w:numId w:val="2"/>
        </w:numPr>
        <w:spacing w:after="11"/>
        <w:ind w:hanging="10"/>
      </w:pPr>
      <w:r>
        <w:t xml:space="preserve">Валидност на издадената карта – съобразно срока на експертното решение на ТЕЛК, НЕЛК или ДЕЛК.  </w:t>
      </w:r>
    </w:p>
    <w:p w:rsidR="003E70A2" w:rsidRDefault="003E70A2" w:rsidP="003E70A2">
      <w:pPr>
        <w:numPr>
          <w:ilvl w:val="0"/>
          <w:numId w:val="3"/>
        </w:numPr>
        <w:spacing w:after="11"/>
        <w:ind w:hanging="10"/>
      </w:pPr>
      <w:r>
        <w:t>Карта за паркиране на</w:t>
      </w:r>
      <w:r>
        <w:rPr>
          <w:b/>
        </w:rPr>
        <w:t xml:space="preserve"> </w:t>
      </w:r>
      <w:r>
        <w:t xml:space="preserve">превозни средства, управлявани от или превозващи лица с трайни увреждания се издава на лица с трайно намалена работоспособност или вид и степен на увреждане. Определеният процент на трайно намалена работоспособност на тези лица (респ. ограничена възможност за социална адаптация при децата), следва да е 50% /петдесет/ и над 50% (петдесет процента).  </w:t>
      </w:r>
    </w:p>
    <w:p w:rsidR="003E70A2" w:rsidRDefault="003E70A2" w:rsidP="003E70A2">
      <w:pPr>
        <w:numPr>
          <w:ilvl w:val="0"/>
          <w:numId w:val="3"/>
        </w:numPr>
        <w:spacing w:after="11"/>
        <w:ind w:hanging="10"/>
      </w:pPr>
      <w:r>
        <w:t xml:space="preserve">Трайно намалената работоспособност или вид и степен на увреждане на лицата, се удостоверяват с актуално решение на ТЕЛК, НЕЛК или ДЕЛК в оригинал.  </w:t>
      </w:r>
    </w:p>
    <w:p w:rsidR="003E70A2" w:rsidRDefault="003E70A2" w:rsidP="003E70A2">
      <w:pPr>
        <w:spacing w:after="11"/>
        <w:ind w:left="-5"/>
      </w:pPr>
      <w:r>
        <w:rPr>
          <w:b/>
        </w:rPr>
        <w:t>Чл.4.</w:t>
      </w:r>
      <w:r>
        <w:t xml:space="preserve"> (1) За издаване на карта за паркиране на местата, определени за превозните средства, обслужващи хора с трайни увреждания и използване на улеснения при </w:t>
      </w:r>
      <w:r>
        <w:lastRenderedPageBreak/>
        <w:t xml:space="preserve">паркиране по чл. 99а от Закона за движение по пътищата, лицата с трайни увреждания с постоянен (настоящ) адрес в община Кайнарджа, подават Заявление до Кмета на община Кайнарджа. За деца с определен вид/степен на увреждане 50% /петдесет/ и над 50 % (петдесет процента), заявлението се подава от законния им представител.  </w:t>
      </w:r>
    </w:p>
    <w:p w:rsidR="003E70A2" w:rsidRDefault="003E70A2" w:rsidP="003E70A2">
      <w:pPr>
        <w:spacing w:after="11"/>
        <w:ind w:left="-5"/>
      </w:pPr>
      <w:r>
        <w:t xml:space="preserve">(2) Към заявлението лицата по ал. 1 прилагат:  </w:t>
      </w:r>
    </w:p>
    <w:p w:rsidR="003E70A2" w:rsidRDefault="003E70A2" w:rsidP="003E70A2">
      <w:pPr>
        <w:numPr>
          <w:ilvl w:val="0"/>
          <w:numId w:val="4"/>
        </w:numPr>
        <w:spacing w:after="11"/>
        <w:ind w:hanging="10"/>
      </w:pPr>
      <w:r>
        <w:t xml:space="preserve">Лична карта на лицето подаващо заявлението, като данните от нея се сверяват и тя се връща;  </w:t>
      </w:r>
    </w:p>
    <w:p w:rsidR="003E70A2" w:rsidRDefault="003E70A2" w:rsidP="003E70A2">
      <w:pPr>
        <w:numPr>
          <w:ilvl w:val="0"/>
          <w:numId w:val="4"/>
        </w:numPr>
        <w:spacing w:after="11"/>
        <w:ind w:hanging="10"/>
      </w:pPr>
      <w:r>
        <w:t xml:space="preserve">Копие от решение на ТЕЛК, НЕЛК или ДЕЛК за определяне на трайно намалената работоспособност или вид и степен на увреждане, придружено от оригинал, който се сверява при подаване на документите и се връща;  </w:t>
      </w:r>
    </w:p>
    <w:p w:rsidR="003E70A2" w:rsidRDefault="003E70A2" w:rsidP="003E70A2">
      <w:pPr>
        <w:numPr>
          <w:ilvl w:val="0"/>
          <w:numId w:val="4"/>
        </w:numPr>
        <w:spacing w:after="11"/>
        <w:ind w:hanging="10"/>
      </w:pPr>
      <w:r>
        <w:t xml:space="preserve">Актуална цветна снимка, с размери 3 на 4 см.;  </w:t>
      </w:r>
    </w:p>
    <w:p w:rsidR="003E70A2" w:rsidRDefault="003E70A2" w:rsidP="003E70A2">
      <w:pPr>
        <w:numPr>
          <w:ilvl w:val="0"/>
          <w:numId w:val="4"/>
        </w:numPr>
        <w:spacing w:after="11"/>
        <w:ind w:hanging="10"/>
      </w:pPr>
      <w:r>
        <w:t xml:space="preserve">Копие от нотариално заверено пълномощно, когато искането не се подава от лицето с увреждания, придружено от оригинал, който се сверява при подаване на документи и се връща;  5. Друг документ удостоверяващ представителната власт на лицето подаващо искането.  </w:t>
      </w:r>
    </w:p>
    <w:p w:rsidR="003E70A2" w:rsidRDefault="003E70A2" w:rsidP="003E70A2">
      <w:pPr>
        <w:spacing w:after="11"/>
        <w:ind w:left="-5"/>
      </w:pPr>
      <w:r>
        <w:t xml:space="preserve">(3) Картата за паркиране на превозните средства, обслужващи хора с трайни увреждания се издава в срок от 14 дни, считано от датата на подаване на Заявлението. Картата за паркиране на МПС, обслужващи хора с увреждания, се издава за срок не повече от срока на експертиза на ТЕЛК/НЕЛК/ДЕЛК.  </w:t>
      </w:r>
    </w:p>
    <w:p w:rsidR="003E70A2" w:rsidRDefault="003E70A2" w:rsidP="003E70A2">
      <w:pPr>
        <w:spacing w:after="30" w:line="256" w:lineRule="auto"/>
        <w:ind w:left="0" w:firstLine="0"/>
        <w:jc w:val="left"/>
      </w:pPr>
      <w:r>
        <w:t xml:space="preserve"> </w:t>
      </w:r>
    </w:p>
    <w:p w:rsidR="003E70A2" w:rsidRDefault="003E70A2" w:rsidP="003E70A2">
      <w:pPr>
        <w:spacing w:after="0" w:line="256" w:lineRule="auto"/>
        <w:ind w:right="4"/>
        <w:jc w:val="center"/>
      </w:pPr>
      <w:r>
        <w:rPr>
          <w:b/>
          <w:u w:val="single" w:color="000000"/>
        </w:rPr>
        <w:t>ГЛАВА ТРЕТА</w:t>
      </w:r>
      <w:r>
        <w:rPr>
          <w:b/>
        </w:rPr>
        <w:t xml:space="preserve"> </w:t>
      </w:r>
    </w:p>
    <w:p w:rsidR="003E70A2" w:rsidRDefault="003E70A2" w:rsidP="003E70A2">
      <w:pPr>
        <w:spacing w:after="13"/>
        <w:ind w:left="205"/>
        <w:jc w:val="left"/>
      </w:pPr>
      <w:r>
        <w:rPr>
          <w:b/>
        </w:rPr>
        <w:t xml:space="preserve">ПРАВИЛА ЗА ПРЕСТОЙ И ПАРКИРАНЕ НА ПРЕВОЗНИ СРЕДСТВА ОБСЛУЖВАЩИ </w:t>
      </w:r>
    </w:p>
    <w:p w:rsidR="003E70A2" w:rsidRDefault="003E70A2" w:rsidP="003E70A2">
      <w:pPr>
        <w:keepNext/>
        <w:keepLines/>
        <w:spacing w:after="0" w:line="256" w:lineRule="auto"/>
        <w:ind w:right="4"/>
        <w:jc w:val="center"/>
        <w:outlineLvl w:val="0"/>
        <w:rPr>
          <w:b/>
        </w:rPr>
      </w:pPr>
      <w:r>
        <w:rPr>
          <w:b/>
        </w:rPr>
        <w:t xml:space="preserve">ХОРА С ТРАЙНИ УВРЕЖДАНИЯ </w:t>
      </w:r>
    </w:p>
    <w:p w:rsidR="003E70A2" w:rsidRDefault="003E70A2" w:rsidP="003E70A2">
      <w:pPr>
        <w:spacing w:after="23" w:line="256" w:lineRule="auto"/>
        <w:ind w:left="58" w:firstLine="0"/>
        <w:jc w:val="center"/>
      </w:pPr>
      <w:r>
        <w:t xml:space="preserve"> </w:t>
      </w:r>
    </w:p>
    <w:p w:rsidR="003E70A2" w:rsidRDefault="003E70A2" w:rsidP="003E70A2">
      <w:pPr>
        <w:spacing w:after="11"/>
        <w:ind w:left="-5"/>
      </w:pPr>
      <w:r>
        <w:rPr>
          <w:b/>
        </w:rPr>
        <w:t>Чл. 5.</w:t>
      </w:r>
      <w:r>
        <w:t xml:space="preserve"> (1) Право да паркират и престояват на определените места, имат превозните средства, които към момента при и по време на паркирането обслужват персонално лицето, с валидна Карта за паркиране на превозните средства, обслужващи хора с трайни увреждания издадена на негово име и са обозначени според изискванията на тази наредба.  </w:t>
      </w:r>
    </w:p>
    <w:p w:rsidR="003E70A2" w:rsidRDefault="003E70A2" w:rsidP="003E70A2">
      <w:pPr>
        <w:spacing w:after="11"/>
        <w:ind w:left="-5"/>
      </w:pPr>
      <w:r>
        <w:t xml:space="preserve">(2) Притежателят на Картата е длъжен при и по време на паркирането на определените места, да я постави на видно място в долния десен ъгъл на предното стъкло на автомобила, откъм вътрешната му страна по такъв начин, че при осъществяване на контрол да се възприемат данните от нея. </w:t>
      </w:r>
    </w:p>
    <w:p w:rsidR="003E70A2" w:rsidRDefault="003E70A2" w:rsidP="003E70A2">
      <w:pPr>
        <w:spacing w:after="11"/>
        <w:ind w:left="-5"/>
      </w:pPr>
      <w:r>
        <w:t xml:space="preserve"> </w:t>
      </w:r>
      <w:r>
        <w:rPr>
          <w:b/>
        </w:rPr>
        <w:t>Чл.6.</w:t>
      </w:r>
      <w:r>
        <w:t xml:space="preserve"> Забранява се на обозначените места, да престояват и паркират превозни средства на лица, които не притежават Карта за паркиране за хора с увреждане, или които използват само експертно решение на ТЕЛК, НЕЛК или ДЕЛК или стикер изобразяващ пътен знак Д21.  </w:t>
      </w:r>
    </w:p>
    <w:p w:rsidR="003E70A2" w:rsidRDefault="003E70A2" w:rsidP="003E70A2">
      <w:pPr>
        <w:spacing w:after="30" w:line="256" w:lineRule="auto"/>
        <w:ind w:left="0" w:firstLine="0"/>
        <w:jc w:val="left"/>
      </w:pPr>
      <w:r>
        <w:t xml:space="preserve"> </w:t>
      </w:r>
    </w:p>
    <w:p w:rsidR="003E70A2" w:rsidRDefault="003E70A2" w:rsidP="003E70A2">
      <w:pPr>
        <w:spacing w:after="25" w:line="256" w:lineRule="auto"/>
        <w:ind w:right="4"/>
        <w:jc w:val="center"/>
      </w:pPr>
      <w:r>
        <w:rPr>
          <w:b/>
          <w:u w:val="single" w:color="000000"/>
        </w:rPr>
        <w:t>ГЛАВА ЧЕТВЪРТА</w:t>
      </w:r>
      <w:r>
        <w:rPr>
          <w:b/>
        </w:rPr>
        <w:t xml:space="preserve"> </w:t>
      </w:r>
    </w:p>
    <w:p w:rsidR="003E70A2" w:rsidRDefault="003E70A2" w:rsidP="003E70A2">
      <w:pPr>
        <w:keepNext/>
        <w:keepLines/>
        <w:spacing w:after="0" w:line="256" w:lineRule="auto"/>
        <w:ind w:right="3"/>
        <w:jc w:val="center"/>
        <w:outlineLvl w:val="0"/>
        <w:rPr>
          <w:b/>
        </w:rPr>
      </w:pPr>
      <w:r>
        <w:rPr>
          <w:b/>
        </w:rPr>
        <w:t xml:space="preserve">КОНТРОЛ </w:t>
      </w:r>
    </w:p>
    <w:p w:rsidR="003E70A2" w:rsidRDefault="003E70A2" w:rsidP="003E70A2">
      <w:pPr>
        <w:spacing w:after="0" w:line="256" w:lineRule="auto"/>
        <w:ind w:left="58" w:firstLine="0"/>
        <w:jc w:val="center"/>
      </w:pPr>
      <w:r>
        <w:rPr>
          <w:b/>
        </w:rPr>
        <w:t xml:space="preserve"> </w:t>
      </w:r>
    </w:p>
    <w:p w:rsidR="003E70A2" w:rsidRDefault="003E70A2" w:rsidP="003E70A2">
      <w:pPr>
        <w:spacing w:after="11"/>
        <w:ind w:left="-5"/>
      </w:pPr>
      <w:r>
        <w:rPr>
          <w:b/>
        </w:rPr>
        <w:t>Чл.7. (</w:t>
      </w:r>
      <w:r>
        <w:t xml:space="preserve">1) Контролът по настоящата Наредба се осъществява от органите на МВР и от служители от общината, на основание чл.167, ал.2 от Закона за движение по пътищата.  </w:t>
      </w:r>
    </w:p>
    <w:p w:rsidR="003E70A2" w:rsidRDefault="003E70A2" w:rsidP="003E70A2">
      <w:pPr>
        <w:numPr>
          <w:ilvl w:val="0"/>
          <w:numId w:val="5"/>
        </w:numPr>
        <w:spacing w:after="11"/>
        <w:ind w:hanging="10"/>
      </w:pPr>
      <w:r>
        <w:lastRenderedPageBreak/>
        <w:t xml:space="preserve">Наказателните постановления се издават от Кмета на Община Кайнарджа или от негов заместник, въз основа на акт съставен по наредбата от лицата по ал. 1.  </w:t>
      </w:r>
    </w:p>
    <w:p w:rsidR="003E70A2" w:rsidRDefault="003E70A2" w:rsidP="003E70A2">
      <w:pPr>
        <w:numPr>
          <w:ilvl w:val="0"/>
          <w:numId w:val="5"/>
        </w:numPr>
        <w:spacing w:after="11"/>
        <w:ind w:hanging="10"/>
      </w:pPr>
      <w:r>
        <w:t xml:space="preserve">Установяването на нарушенията, издаването, обжалването и изпълнението на наказателните постановления се извършват по реда на Закона за административните нарушения и наказания.  </w:t>
      </w:r>
    </w:p>
    <w:p w:rsidR="003E70A2" w:rsidRDefault="003E70A2" w:rsidP="003E70A2">
      <w:pPr>
        <w:spacing w:after="30" w:line="256" w:lineRule="auto"/>
        <w:ind w:left="0" w:firstLine="0"/>
        <w:jc w:val="left"/>
      </w:pPr>
      <w:r>
        <w:t xml:space="preserve"> </w:t>
      </w:r>
    </w:p>
    <w:p w:rsidR="003E70A2" w:rsidRDefault="003E70A2" w:rsidP="003E70A2">
      <w:pPr>
        <w:spacing w:after="25" w:line="256" w:lineRule="auto"/>
        <w:ind w:right="3"/>
        <w:jc w:val="center"/>
      </w:pPr>
      <w:r>
        <w:rPr>
          <w:b/>
          <w:u w:val="single" w:color="000000"/>
        </w:rPr>
        <w:t>ГЛАВА ПЕТА</w:t>
      </w:r>
      <w:r>
        <w:rPr>
          <w:b/>
        </w:rPr>
        <w:t xml:space="preserve"> </w:t>
      </w:r>
    </w:p>
    <w:p w:rsidR="003E70A2" w:rsidRDefault="003E70A2" w:rsidP="003E70A2">
      <w:pPr>
        <w:keepNext/>
        <w:keepLines/>
        <w:spacing w:after="0" w:line="256" w:lineRule="auto"/>
        <w:ind w:right="5"/>
        <w:jc w:val="center"/>
        <w:outlineLvl w:val="0"/>
        <w:rPr>
          <w:b/>
        </w:rPr>
      </w:pPr>
      <w:r>
        <w:rPr>
          <w:b/>
        </w:rPr>
        <w:t xml:space="preserve">АДМИНИСТРАТИВНО НАКАЗАТЕЛНА ОТГОВОРНОСТ </w:t>
      </w:r>
    </w:p>
    <w:p w:rsidR="003E70A2" w:rsidRDefault="003E70A2" w:rsidP="003E70A2">
      <w:pPr>
        <w:spacing w:after="18" w:line="256" w:lineRule="auto"/>
        <w:ind w:left="58" w:firstLine="0"/>
        <w:jc w:val="center"/>
      </w:pPr>
      <w:r>
        <w:rPr>
          <w:b/>
        </w:rPr>
        <w:t xml:space="preserve"> </w:t>
      </w:r>
    </w:p>
    <w:p w:rsidR="003E70A2" w:rsidRDefault="003E70A2" w:rsidP="003E70A2">
      <w:pPr>
        <w:spacing w:after="11"/>
        <w:ind w:left="-5"/>
      </w:pPr>
      <w:r>
        <w:rPr>
          <w:b/>
        </w:rPr>
        <w:t>Чл.8.</w:t>
      </w:r>
      <w:r>
        <w:t xml:space="preserve"> (1) За нарушение на разпоредбата на чл.6 от тази Наредба се налага административно наказание, глоба за физически лица в размер от 20.00 лева до 100.00 лева.  </w:t>
      </w:r>
    </w:p>
    <w:p w:rsidR="003E70A2" w:rsidRDefault="003E70A2" w:rsidP="003E70A2">
      <w:pPr>
        <w:spacing w:after="11"/>
        <w:ind w:left="-5"/>
      </w:pPr>
      <w:r>
        <w:t xml:space="preserve">(2) За нарушение на разпоредбата на чл.6 от тази Наредба се налага административно наказание, глоба за юридически лица в размер от 100.00 лева до 200.00 лева.  </w:t>
      </w:r>
    </w:p>
    <w:p w:rsidR="003E70A2" w:rsidRDefault="003E70A2" w:rsidP="003E70A2">
      <w:pPr>
        <w:spacing w:after="31" w:line="256" w:lineRule="auto"/>
        <w:ind w:left="0" w:firstLine="0"/>
        <w:jc w:val="left"/>
      </w:pPr>
      <w:r>
        <w:t xml:space="preserve"> </w:t>
      </w:r>
    </w:p>
    <w:p w:rsidR="003E70A2" w:rsidRDefault="003E70A2" w:rsidP="003E70A2">
      <w:pPr>
        <w:keepNext/>
        <w:keepLines/>
        <w:spacing w:after="0" w:line="256" w:lineRule="auto"/>
        <w:ind w:right="3"/>
        <w:jc w:val="center"/>
        <w:outlineLvl w:val="1"/>
        <w:rPr>
          <w:b/>
          <w:u w:val="single" w:color="000000"/>
        </w:rPr>
      </w:pPr>
      <w:r>
        <w:rPr>
          <w:b/>
          <w:u w:val="single" w:color="000000"/>
        </w:rPr>
        <w:t>ДОПЪЛНИТЕЛНИ РАЗПОРЕДБИ</w:t>
      </w:r>
      <w:r>
        <w:rPr>
          <w:b/>
        </w:rPr>
        <w:t xml:space="preserve"> </w:t>
      </w:r>
    </w:p>
    <w:p w:rsidR="003E70A2" w:rsidRDefault="003E70A2" w:rsidP="003E70A2">
      <w:pPr>
        <w:spacing w:after="0" w:line="256" w:lineRule="auto"/>
        <w:ind w:left="58" w:firstLine="0"/>
        <w:jc w:val="center"/>
      </w:pPr>
      <w:r>
        <w:rPr>
          <w:b/>
        </w:rPr>
        <w:t xml:space="preserve"> </w:t>
      </w:r>
    </w:p>
    <w:p w:rsidR="003E70A2" w:rsidRDefault="003E70A2" w:rsidP="003E70A2">
      <w:pPr>
        <w:spacing w:after="11"/>
        <w:ind w:left="-5"/>
      </w:pPr>
      <w:r>
        <w:t xml:space="preserve">§ 1. Производството по издаване на Карта за паркиране на местата, определени за превозните средства, обслужващи хора с трайни увреждания е безплатно.  </w:t>
      </w:r>
    </w:p>
    <w:p w:rsidR="003E70A2" w:rsidRDefault="003E70A2" w:rsidP="003E70A2">
      <w:pPr>
        <w:spacing w:after="11"/>
        <w:ind w:left="-5"/>
      </w:pPr>
      <w:r>
        <w:t xml:space="preserve">§ 2. Право имащите лица се снабдяват с Карта за паркиране на превозни средства, управлявани или превозващи лица с трайни увреждания на територията на община Кайнарджа по образец съгласно Приложение № 1, след влизане в сила на настоящата Наредба. </w:t>
      </w:r>
    </w:p>
    <w:p w:rsidR="003E70A2" w:rsidRDefault="003E70A2" w:rsidP="003E70A2">
      <w:pPr>
        <w:spacing w:after="11"/>
        <w:ind w:left="-5"/>
      </w:pPr>
      <w:r>
        <w:t xml:space="preserve">§3. Наредбата за издаване на карти за паркиране на превозни средства, управлявани от или превозващи лица с трайни увреждания на територията на община Кайнарджа е приета с Решение № 405 по Протокол № 60 от 29.09.2023 год. на Общински съвет Кайнарджа </w:t>
      </w:r>
    </w:p>
    <w:p w:rsidR="003E70A2" w:rsidRDefault="003E70A2" w:rsidP="003E70A2">
      <w:pPr>
        <w:spacing w:after="31" w:line="256" w:lineRule="auto"/>
        <w:ind w:left="708" w:firstLine="0"/>
        <w:jc w:val="left"/>
      </w:pPr>
      <w:r>
        <w:t xml:space="preserve"> </w:t>
      </w:r>
    </w:p>
    <w:p w:rsidR="003E70A2" w:rsidRDefault="003E70A2" w:rsidP="003E70A2">
      <w:pPr>
        <w:spacing w:after="0" w:line="256" w:lineRule="auto"/>
        <w:ind w:left="0" w:right="530" w:firstLine="0"/>
        <w:jc w:val="right"/>
        <w:rPr>
          <w:b/>
        </w:rPr>
      </w:pPr>
    </w:p>
    <w:p w:rsidR="003E70A2" w:rsidRDefault="003E70A2" w:rsidP="003E70A2">
      <w:pPr>
        <w:spacing w:after="0" w:line="256" w:lineRule="auto"/>
        <w:ind w:left="0" w:right="530" w:firstLine="0"/>
        <w:rPr>
          <w:b/>
        </w:rPr>
      </w:pPr>
    </w:p>
    <w:p w:rsidR="003E70A2" w:rsidRDefault="003E70A2" w:rsidP="003E70A2">
      <w:pPr>
        <w:spacing w:after="0" w:line="256" w:lineRule="auto"/>
        <w:ind w:left="0" w:right="530" w:firstLine="0"/>
        <w:jc w:val="right"/>
      </w:pPr>
      <w:r>
        <w:rPr>
          <w:b/>
        </w:rPr>
        <w:t xml:space="preserve"> </w:t>
      </w:r>
    </w:p>
    <w:p w:rsidR="003E70A2" w:rsidRDefault="003E70A2" w:rsidP="003E70A2">
      <w:pPr>
        <w:spacing w:after="0" w:line="256" w:lineRule="auto"/>
        <w:ind w:left="0" w:right="4" w:firstLine="0"/>
        <w:jc w:val="right"/>
      </w:pPr>
      <w:r>
        <w:rPr>
          <w:rFonts w:ascii="Arial" w:eastAsia="Arial" w:hAnsi="Arial" w:cs="Arial"/>
          <w:b/>
          <w:sz w:val="20"/>
        </w:rPr>
        <w:t xml:space="preserve">Приложение №1 </w:t>
      </w:r>
    </w:p>
    <w:p w:rsidR="003E70A2" w:rsidRDefault="003E70A2" w:rsidP="003E70A2">
      <w:pPr>
        <w:spacing w:after="0" w:line="256" w:lineRule="auto"/>
        <w:ind w:left="1176" w:firstLine="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E70A2" w:rsidRDefault="003E70A2" w:rsidP="003E70A2">
      <w:pPr>
        <w:spacing w:after="0" w:line="256" w:lineRule="auto"/>
        <w:ind w:left="0" w:right="4124" w:firstLine="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3E70A2" w:rsidRDefault="003E70A2" w:rsidP="003E70A2">
      <w:pPr>
        <w:spacing w:after="17" w:line="256" w:lineRule="auto"/>
        <w:ind w:left="480" w:firstLine="0"/>
        <w:jc w:val="left"/>
        <w:rPr>
          <w:rFonts w:ascii="Arial" w:eastAsia="Arial" w:hAnsi="Arial" w:cs="Arial"/>
          <w:i/>
          <w:sz w:val="20"/>
          <w:lang w:val="en-AU"/>
        </w:rPr>
      </w:pPr>
      <w:r>
        <w:rPr>
          <w:rFonts w:ascii="Arial" w:eastAsia="Arial" w:hAnsi="Arial" w:cs="Arial"/>
          <w:i/>
          <w:sz w:val="20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2790825" cy="1962150"/>
            <wp:effectExtent l="0" t="0" r="952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00" t="13622" r="26993" b="5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  <w:sz w:val="20"/>
        </w:rPr>
        <w:t xml:space="preserve">       </w:t>
      </w:r>
      <w:r>
        <w:rPr>
          <w:rFonts w:ascii="Arial" w:eastAsia="Arial" w:hAnsi="Arial" w:cs="Arial"/>
          <w:i/>
          <w:noProof/>
          <w:sz w:val="20"/>
        </w:rPr>
        <w:drawing>
          <wp:inline distT="0" distB="0" distL="0" distR="0">
            <wp:extent cx="2886075" cy="19716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25" t="17537" r="27153" b="8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0A2" w:rsidRDefault="003E70A2" w:rsidP="003E70A2">
      <w:pPr>
        <w:spacing w:after="17" w:line="256" w:lineRule="auto"/>
        <w:ind w:left="480" w:firstLine="0"/>
        <w:jc w:val="left"/>
        <w:rPr>
          <w:rFonts w:ascii="Arial" w:eastAsia="Arial" w:hAnsi="Arial" w:cs="Arial"/>
          <w:i/>
          <w:sz w:val="20"/>
        </w:rPr>
      </w:pPr>
    </w:p>
    <w:p w:rsidR="003E70A2" w:rsidRDefault="003E70A2" w:rsidP="003E70A2">
      <w:pPr>
        <w:spacing w:after="17" w:line="256" w:lineRule="auto"/>
        <w:ind w:left="480" w:firstLine="0"/>
        <w:jc w:val="left"/>
        <w:rPr>
          <w:rFonts w:ascii="Arial" w:eastAsia="Arial" w:hAnsi="Arial" w:cs="Arial"/>
          <w:i/>
          <w:sz w:val="20"/>
        </w:rPr>
      </w:pPr>
    </w:p>
    <w:p w:rsidR="003E70A2" w:rsidRDefault="003E70A2" w:rsidP="003E70A2">
      <w:pPr>
        <w:spacing w:after="17" w:line="256" w:lineRule="auto"/>
        <w:ind w:left="480" w:firstLine="0"/>
        <w:jc w:val="left"/>
      </w:pPr>
    </w:p>
    <w:p w:rsidR="003E70A2" w:rsidRDefault="003E70A2" w:rsidP="003E70A2">
      <w:pPr>
        <w:numPr>
          <w:ilvl w:val="0"/>
          <w:numId w:val="6"/>
        </w:numPr>
        <w:spacing w:after="8"/>
        <w:ind w:hanging="10"/>
        <w:jc w:val="left"/>
      </w:pPr>
      <w:r>
        <w:rPr>
          <w:rFonts w:ascii="Arial" w:eastAsia="Arial" w:hAnsi="Arial" w:cs="Arial"/>
          <w:sz w:val="20"/>
        </w:rPr>
        <w:t xml:space="preserve">Картата за преференциално паркиране на ППС, превозващи хора с трайни увреждания, е с размери: височина 106 мм и широчина 148 мм. </w:t>
      </w:r>
    </w:p>
    <w:p w:rsidR="003E70A2" w:rsidRDefault="003E70A2" w:rsidP="003E70A2">
      <w:pPr>
        <w:numPr>
          <w:ilvl w:val="0"/>
          <w:numId w:val="6"/>
        </w:numPr>
        <w:spacing w:after="8"/>
        <w:ind w:hanging="10"/>
        <w:jc w:val="left"/>
      </w:pPr>
      <w:r>
        <w:rPr>
          <w:rFonts w:ascii="Arial" w:eastAsia="Arial" w:hAnsi="Arial" w:cs="Arial"/>
          <w:sz w:val="20"/>
        </w:rPr>
        <w:t xml:space="preserve">Цветът на картата за паркиране е светлосин с изключение на белия знак за „инвалид", който е на тъмносин фон. </w:t>
      </w:r>
    </w:p>
    <w:p w:rsidR="003E70A2" w:rsidRDefault="003E70A2" w:rsidP="003E70A2">
      <w:pPr>
        <w:numPr>
          <w:ilvl w:val="0"/>
          <w:numId w:val="6"/>
        </w:numPr>
        <w:spacing w:after="8"/>
        <w:ind w:hanging="10"/>
        <w:jc w:val="left"/>
      </w:pPr>
      <w:r>
        <w:rPr>
          <w:rFonts w:ascii="Arial" w:eastAsia="Arial" w:hAnsi="Arial" w:cs="Arial"/>
          <w:sz w:val="20"/>
        </w:rPr>
        <w:t xml:space="preserve">Картите за преференциално паркиране задължително са ламинирани. </w:t>
      </w:r>
    </w:p>
    <w:p w:rsidR="003E70A2" w:rsidRDefault="003E70A2" w:rsidP="003E70A2">
      <w:pPr>
        <w:numPr>
          <w:ilvl w:val="0"/>
          <w:numId w:val="6"/>
        </w:numPr>
        <w:spacing w:after="8"/>
        <w:ind w:hanging="10"/>
        <w:jc w:val="left"/>
      </w:pPr>
      <w:r>
        <w:rPr>
          <w:rFonts w:ascii="Arial" w:eastAsia="Arial" w:hAnsi="Arial" w:cs="Arial"/>
          <w:sz w:val="20"/>
        </w:rPr>
        <w:t xml:space="preserve">Полетата на предната и задната част на картата за преференциално паркиране са разделени вертикално на две части.  </w:t>
      </w:r>
    </w:p>
    <w:p w:rsidR="003E70A2" w:rsidRDefault="003E70A2" w:rsidP="003E70A2">
      <w:pPr>
        <w:spacing w:after="8"/>
        <w:ind w:left="475"/>
        <w:jc w:val="left"/>
      </w:pPr>
      <w:r>
        <w:rPr>
          <w:rFonts w:ascii="Arial" w:eastAsia="Arial" w:hAnsi="Arial" w:cs="Arial"/>
          <w:sz w:val="20"/>
        </w:rPr>
        <w:t xml:space="preserve">Лявата част отпред съдържа: </w:t>
      </w:r>
    </w:p>
    <w:p w:rsidR="003E70A2" w:rsidRDefault="003E70A2" w:rsidP="003E70A2">
      <w:pPr>
        <w:numPr>
          <w:ilvl w:val="0"/>
          <w:numId w:val="7"/>
        </w:numPr>
        <w:spacing w:after="8"/>
        <w:ind w:hanging="10"/>
        <w:jc w:val="left"/>
      </w:pPr>
      <w:r>
        <w:rPr>
          <w:rFonts w:ascii="Arial" w:eastAsia="Arial" w:hAnsi="Arial" w:cs="Arial"/>
          <w:sz w:val="20"/>
        </w:rPr>
        <w:t xml:space="preserve">символ на инвалидна количка в бяло на тъмносин фон; </w:t>
      </w:r>
    </w:p>
    <w:p w:rsidR="003E70A2" w:rsidRDefault="003E70A2" w:rsidP="003E70A2">
      <w:pPr>
        <w:numPr>
          <w:ilvl w:val="0"/>
          <w:numId w:val="7"/>
        </w:numPr>
        <w:spacing w:after="8"/>
        <w:ind w:hanging="10"/>
        <w:jc w:val="left"/>
      </w:pPr>
      <w:r>
        <w:rPr>
          <w:rFonts w:ascii="Arial" w:eastAsia="Arial" w:hAnsi="Arial" w:cs="Arial"/>
          <w:sz w:val="20"/>
        </w:rPr>
        <w:t xml:space="preserve">дата на изтичане на картата за паркиране; </w:t>
      </w:r>
    </w:p>
    <w:p w:rsidR="003E70A2" w:rsidRDefault="003E70A2" w:rsidP="003E70A2">
      <w:pPr>
        <w:numPr>
          <w:ilvl w:val="0"/>
          <w:numId w:val="7"/>
        </w:numPr>
        <w:spacing w:after="8"/>
        <w:ind w:hanging="10"/>
        <w:jc w:val="left"/>
      </w:pPr>
      <w:r>
        <w:rPr>
          <w:rFonts w:ascii="Arial" w:eastAsia="Arial" w:hAnsi="Arial" w:cs="Arial"/>
          <w:sz w:val="20"/>
        </w:rPr>
        <w:t xml:space="preserve">серийния номер на картата за паркиране; - името и печата на издаващия орган/организация. </w:t>
      </w:r>
    </w:p>
    <w:p w:rsidR="003E70A2" w:rsidRDefault="003E70A2" w:rsidP="003E70A2">
      <w:pPr>
        <w:spacing w:after="8"/>
        <w:ind w:left="475"/>
        <w:jc w:val="left"/>
      </w:pPr>
      <w:r>
        <w:rPr>
          <w:rFonts w:ascii="Arial" w:eastAsia="Arial" w:hAnsi="Arial" w:cs="Arial"/>
          <w:sz w:val="20"/>
        </w:rPr>
        <w:t xml:space="preserve">Дясната част отпред съдържа: </w:t>
      </w:r>
    </w:p>
    <w:p w:rsidR="003E70A2" w:rsidRDefault="003E70A2" w:rsidP="003E70A2">
      <w:pPr>
        <w:numPr>
          <w:ilvl w:val="0"/>
          <w:numId w:val="7"/>
        </w:numPr>
        <w:spacing w:after="8"/>
        <w:ind w:hanging="10"/>
        <w:jc w:val="left"/>
      </w:pPr>
      <w:r>
        <w:rPr>
          <w:rFonts w:ascii="Arial" w:eastAsia="Arial" w:hAnsi="Arial" w:cs="Arial"/>
          <w:sz w:val="20"/>
        </w:rPr>
        <w:t xml:space="preserve">с главни букви думите „КАРТА ЗА ПАРКИРАНЕ ЗА ХОРА С УВРЕЖДАНИЯ" на български език, а на подходящо отстояние с малък шрифт думите „Карта за паркиране" на други езици; </w:t>
      </w:r>
    </w:p>
    <w:p w:rsidR="003E70A2" w:rsidRDefault="003E70A2" w:rsidP="003E70A2">
      <w:pPr>
        <w:numPr>
          <w:ilvl w:val="0"/>
          <w:numId w:val="7"/>
        </w:numPr>
        <w:spacing w:after="8"/>
        <w:ind w:hanging="10"/>
        <w:jc w:val="left"/>
      </w:pPr>
      <w:r>
        <w:rPr>
          <w:rFonts w:ascii="Arial" w:eastAsia="Arial" w:hAnsi="Arial" w:cs="Arial"/>
          <w:sz w:val="20"/>
        </w:rPr>
        <w:t xml:space="preserve">думите „Модел на Европейските общности" на български език; </w:t>
      </w:r>
    </w:p>
    <w:p w:rsidR="003E70A2" w:rsidRDefault="003E70A2" w:rsidP="003E70A2">
      <w:pPr>
        <w:numPr>
          <w:ilvl w:val="0"/>
          <w:numId w:val="7"/>
        </w:numPr>
        <w:spacing w:after="8"/>
        <w:ind w:hanging="10"/>
        <w:jc w:val="left"/>
      </w:pPr>
      <w:r>
        <w:rPr>
          <w:rFonts w:ascii="Arial" w:eastAsia="Arial" w:hAnsi="Arial" w:cs="Arial"/>
          <w:sz w:val="20"/>
        </w:rPr>
        <w:t xml:space="preserve">като фон отличителния код на Република България - BG, заобиколен от кръг от 12 звезди, символизиращи Европейския съюз. </w:t>
      </w:r>
    </w:p>
    <w:p w:rsidR="003E70A2" w:rsidRDefault="003E70A2" w:rsidP="003E70A2">
      <w:pPr>
        <w:spacing w:after="8"/>
        <w:ind w:left="475"/>
        <w:jc w:val="left"/>
      </w:pPr>
      <w:r>
        <w:rPr>
          <w:rFonts w:ascii="Arial" w:eastAsia="Arial" w:hAnsi="Arial" w:cs="Arial"/>
          <w:sz w:val="20"/>
        </w:rPr>
        <w:t xml:space="preserve">Лявата част на гърба съдържа: </w:t>
      </w:r>
    </w:p>
    <w:p w:rsidR="003E70A2" w:rsidRDefault="003E70A2" w:rsidP="003E70A2">
      <w:pPr>
        <w:numPr>
          <w:ilvl w:val="0"/>
          <w:numId w:val="7"/>
        </w:numPr>
        <w:spacing w:after="8"/>
        <w:ind w:hanging="10"/>
        <w:jc w:val="left"/>
      </w:pPr>
      <w:r>
        <w:rPr>
          <w:rFonts w:ascii="Arial" w:eastAsia="Arial" w:hAnsi="Arial" w:cs="Arial"/>
          <w:sz w:val="20"/>
        </w:rPr>
        <w:t xml:space="preserve">фамилията на притежателя; </w:t>
      </w:r>
    </w:p>
    <w:p w:rsidR="003E70A2" w:rsidRDefault="003E70A2" w:rsidP="003E70A2">
      <w:pPr>
        <w:numPr>
          <w:ilvl w:val="0"/>
          <w:numId w:val="7"/>
        </w:numPr>
        <w:spacing w:after="8"/>
        <w:ind w:hanging="10"/>
        <w:jc w:val="left"/>
      </w:pPr>
      <w:r>
        <w:rPr>
          <w:rFonts w:ascii="Arial" w:eastAsia="Arial" w:hAnsi="Arial" w:cs="Arial"/>
          <w:sz w:val="20"/>
        </w:rPr>
        <w:t xml:space="preserve">първото (първите) име (имена) на притежателя; - подписа на притежателя или друг идентифициращ знак; - снимка на притежателя. </w:t>
      </w:r>
    </w:p>
    <w:p w:rsidR="003E70A2" w:rsidRDefault="003E70A2" w:rsidP="003E70A2">
      <w:pPr>
        <w:spacing w:after="8"/>
        <w:ind w:left="475"/>
        <w:jc w:val="left"/>
      </w:pPr>
      <w:r>
        <w:rPr>
          <w:rFonts w:ascii="Arial" w:eastAsia="Arial" w:hAnsi="Arial" w:cs="Arial"/>
          <w:sz w:val="20"/>
        </w:rPr>
        <w:t xml:space="preserve">Дясната част на гърба съдържа: </w:t>
      </w:r>
    </w:p>
    <w:p w:rsidR="003E70A2" w:rsidRDefault="003E70A2" w:rsidP="003E70A2">
      <w:pPr>
        <w:numPr>
          <w:ilvl w:val="0"/>
          <w:numId w:val="7"/>
        </w:numPr>
        <w:spacing w:after="8"/>
        <w:ind w:hanging="10"/>
        <w:jc w:val="left"/>
      </w:pPr>
      <w:r>
        <w:rPr>
          <w:rFonts w:ascii="Arial" w:eastAsia="Arial" w:hAnsi="Arial" w:cs="Arial"/>
          <w:sz w:val="20"/>
        </w:rPr>
        <w:t xml:space="preserve">твърдението, че тази карта дава право на притежателя й да ползва място за преференциално паркиране на ППС, превозващи хора с увреждания; </w:t>
      </w:r>
    </w:p>
    <w:p w:rsidR="003E70A2" w:rsidRDefault="003E70A2" w:rsidP="003E70A2">
      <w:pPr>
        <w:numPr>
          <w:ilvl w:val="0"/>
          <w:numId w:val="7"/>
        </w:numPr>
        <w:spacing w:after="40"/>
        <w:ind w:hanging="10"/>
        <w:jc w:val="left"/>
      </w:pPr>
      <w:r>
        <w:rPr>
          <w:rFonts w:ascii="Arial" w:eastAsia="Arial" w:hAnsi="Arial" w:cs="Arial"/>
          <w:sz w:val="20"/>
        </w:rPr>
        <w:lastRenderedPageBreak/>
        <w:t xml:space="preserve">твърдението, че при употреба картата се поставя в предната част на превозното средство, така че лицевата й част да се вижда изцяло с цел проверка. </w:t>
      </w:r>
    </w:p>
    <w:p w:rsidR="003E70A2" w:rsidRDefault="003E70A2" w:rsidP="003E70A2">
      <w:pPr>
        <w:spacing w:after="8"/>
        <w:ind w:left="475"/>
        <w:jc w:val="left"/>
      </w:pPr>
      <w:r>
        <w:rPr>
          <w:rFonts w:ascii="Arial" w:eastAsia="Arial" w:hAnsi="Arial" w:cs="Arial"/>
          <w:sz w:val="20"/>
        </w:rPr>
        <w:t>Данните са на български език.</w:t>
      </w:r>
      <w:r>
        <w:rPr>
          <w:b/>
        </w:rPr>
        <w:t xml:space="preserve"> </w:t>
      </w:r>
    </w:p>
    <w:p w:rsidR="003E70A2" w:rsidRDefault="003E70A2" w:rsidP="003E70A2">
      <w:pPr>
        <w:spacing w:after="0" w:line="256" w:lineRule="auto"/>
        <w:ind w:left="0" w:firstLine="0"/>
        <w:jc w:val="right"/>
      </w:pPr>
      <w:r>
        <w:t xml:space="preserve"> </w:t>
      </w:r>
    </w:p>
    <w:p w:rsidR="00AB1A51" w:rsidRDefault="00AB1A51"/>
    <w:p w:rsidR="003E70A2" w:rsidRDefault="003E70A2"/>
    <w:p w:rsidR="003E70A2" w:rsidRDefault="003E70A2"/>
    <w:p w:rsidR="003E70A2" w:rsidRDefault="003E70A2"/>
    <w:p w:rsidR="003E70A2" w:rsidRDefault="003E70A2"/>
    <w:p w:rsidR="003E70A2" w:rsidRDefault="003E70A2">
      <w:pPr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 w:cstheme="minorHAnsi"/>
        </w:rPr>
        <w:t xml:space="preserve">Председател на </w:t>
      </w:r>
      <w:proofErr w:type="spellStart"/>
      <w:r>
        <w:rPr>
          <w:rFonts w:asciiTheme="minorHAnsi" w:hAnsiTheme="minorHAnsi" w:cstheme="minorHAnsi"/>
        </w:rPr>
        <w:t>ОбС</w:t>
      </w:r>
      <w:proofErr w:type="spellEnd"/>
      <w:r>
        <w:rPr>
          <w:rFonts w:asciiTheme="minorHAnsi" w:hAnsiTheme="minorHAnsi" w:cstheme="minorHAnsi"/>
        </w:rPr>
        <w:t>:………………………….</w:t>
      </w:r>
    </w:p>
    <w:p w:rsidR="003E70A2" w:rsidRPr="003E70A2" w:rsidRDefault="003E70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/ И. Петков /</w:t>
      </w:r>
    </w:p>
    <w:sectPr w:rsidR="003E70A2" w:rsidRPr="003E7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7B9"/>
    <w:multiLevelType w:val="hybridMultilevel"/>
    <w:tmpl w:val="EAF0BE72"/>
    <w:lvl w:ilvl="0" w:tplc="A8704B64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952C1F0">
      <w:start w:val="1"/>
      <w:numFmt w:val="lowerLetter"/>
      <w:lvlText w:val="%2"/>
      <w:lvlJc w:val="left"/>
      <w:pPr>
        <w:ind w:left="156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A3EAD10">
      <w:start w:val="1"/>
      <w:numFmt w:val="lowerRoman"/>
      <w:lvlText w:val="%3"/>
      <w:lvlJc w:val="left"/>
      <w:pPr>
        <w:ind w:left="228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514C7C4">
      <w:start w:val="1"/>
      <w:numFmt w:val="decimal"/>
      <w:lvlText w:val="%4"/>
      <w:lvlJc w:val="left"/>
      <w:pPr>
        <w:ind w:left="300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16459F6">
      <w:start w:val="1"/>
      <w:numFmt w:val="lowerLetter"/>
      <w:lvlText w:val="%5"/>
      <w:lvlJc w:val="left"/>
      <w:pPr>
        <w:ind w:left="372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2F28246">
      <w:start w:val="1"/>
      <w:numFmt w:val="lowerRoman"/>
      <w:lvlText w:val="%6"/>
      <w:lvlJc w:val="left"/>
      <w:pPr>
        <w:ind w:left="444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D22EE4C">
      <w:start w:val="1"/>
      <w:numFmt w:val="decimal"/>
      <w:lvlText w:val="%7"/>
      <w:lvlJc w:val="left"/>
      <w:pPr>
        <w:ind w:left="516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1749178">
      <w:start w:val="1"/>
      <w:numFmt w:val="lowerLetter"/>
      <w:lvlText w:val="%8"/>
      <w:lvlJc w:val="left"/>
      <w:pPr>
        <w:ind w:left="588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ECCA674">
      <w:start w:val="1"/>
      <w:numFmt w:val="lowerRoman"/>
      <w:lvlText w:val="%9"/>
      <w:lvlJc w:val="left"/>
      <w:pPr>
        <w:ind w:left="660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10067A"/>
    <w:multiLevelType w:val="hybridMultilevel"/>
    <w:tmpl w:val="382C4B50"/>
    <w:lvl w:ilvl="0" w:tplc="A1BE7CAA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16A2A8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22C4E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88110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00341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582D46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948B02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086F12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EE697F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2295038"/>
    <w:multiLevelType w:val="hybridMultilevel"/>
    <w:tmpl w:val="881E59FC"/>
    <w:lvl w:ilvl="0" w:tplc="74C896B0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DA468F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6F0E5C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7E4F73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BDA853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E4662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512F57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44D8A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D1E36D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7A95785"/>
    <w:multiLevelType w:val="hybridMultilevel"/>
    <w:tmpl w:val="C6E03CCE"/>
    <w:lvl w:ilvl="0" w:tplc="2F6EF766">
      <w:start w:val="1"/>
      <w:numFmt w:val="bullet"/>
      <w:lvlText w:val="-"/>
      <w:lvlJc w:val="left"/>
      <w:pPr>
        <w:ind w:left="4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90DAC0">
      <w:start w:val="1"/>
      <w:numFmt w:val="bullet"/>
      <w:lvlText w:val="o"/>
      <w:lvlJc w:val="left"/>
      <w:pPr>
        <w:ind w:left="15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A122A14">
      <w:start w:val="1"/>
      <w:numFmt w:val="bullet"/>
      <w:lvlText w:val="▪"/>
      <w:lvlJc w:val="left"/>
      <w:pPr>
        <w:ind w:left="22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156AB98">
      <w:start w:val="1"/>
      <w:numFmt w:val="bullet"/>
      <w:lvlText w:val="•"/>
      <w:lvlJc w:val="left"/>
      <w:pPr>
        <w:ind w:left="30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5EC1E56">
      <w:start w:val="1"/>
      <w:numFmt w:val="bullet"/>
      <w:lvlText w:val="o"/>
      <w:lvlJc w:val="left"/>
      <w:pPr>
        <w:ind w:left="3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596F7D6">
      <w:start w:val="1"/>
      <w:numFmt w:val="bullet"/>
      <w:lvlText w:val="▪"/>
      <w:lvlJc w:val="left"/>
      <w:pPr>
        <w:ind w:left="4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D1AD356">
      <w:start w:val="1"/>
      <w:numFmt w:val="bullet"/>
      <w:lvlText w:val="•"/>
      <w:lvlJc w:val="left"/>
      <w:pPr>
        <w:ind w:left="5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5DCF766">
      <w:start w:val="1"/>
      <w:numFmt w:val="bullet"/>
      <w:lvlText w:val="o"/>
      <w:lvlJc w:val="left"/>
      <w:pPr>
        <w:ind w:left="5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D60224C">
      <w:start w:val="1"/>
      <w:numFmt w:val="bullet"/>
      <w:lvlText w:val="▪"/>
      <w:lvlJc w:val="left"/>
      <w:pPr>
        <w:ind w:left="6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A876EDA"/>
    <w:multiLevelType w:val="hybridMultilevel"/>
    <w:tmpl w:val="F894D48A"/>
    <w:lvl w:ilvl="0" w:tplc="4BF444E2">
      <w:start w:val="2"/>
      <w:numFmt w:val="decimal"/>
      <w:lvlText w:val="(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552058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C5EDE3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37CFE4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C723E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DFEB5E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D061B1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EB24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146E1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4022793"/>
    <w:multiLevelType w:val="hybridMultilevel"/>
    <w:tmpl w:val="B3BA652A"/>
    <w:lvl w:ilvl="0" w:tplc="7518A448">
      <w:start w:val="3"/>
      <w:numFmt w:val="decimal"/>
      <w:lvlText w:val="(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E9095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156A7E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3C245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4FC04C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06D94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332EBD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F0CC7C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50E26D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7C425C1"/>
    <w:multiLevelType w:val="hybridMultilevel"/>
    <w:tmpl w:val="1AE63862"/>
    <w:lvl w:ilvl="0" w:tplc="7F88F2A4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F762BE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B4C2DF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0F20E1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FC1A9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9019A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2AA6D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986F80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A58BAE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A2"/>
    <w:rsid w:val="000650E5"/>
    <w:rsid w:val="003E70A2"/>
    <w:rsid w:val="00AB1A51"/>
    <w:rsid w:val="00E1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905DC-33FD-4DB3-9A72-4FD185C3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0A2"/>
    <w:pPr>
      <w:spacing w:after="1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Ковачева</dc:creator>
  <cp:keywords/>
  <dc:description/>
  <cp:lastModifiedBy>Елена Ковачева</cp:lastModifiedBy>
  <cp:revision>2</cp:revision>
  <dcterms:created xsi:type="dcterms:W3CDTF">2023-10-02T11:50:00Z</dcterms:created>
  <dcterms:modified xsi:type="dcterms:W3CDTF">2023-10-02T11:50:00Z</dcterms:modified>
</cp:coreProperties>
</file>